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  <w:color w:val="14B8A6"/>
          <w:sz w:val="26"/>
        </w:rPr>
        <w:t>CAPPASOFT  |  Narration — Langage clair · Capsule 3</w:t>
      </w:r>
    </w:p>
    <w:p>
      <w:pPr>
        <w:pStyle w:val="Heading1"/>
      </w:pPr>
      <w:r>
        <w:rPr>
          <w:sz w:val="22"/>
        </w:rPr>
        <w:t>Capsule 3 — Financement municipal (Stoneham-et-Tewkesbury)</w:t>
      </w:r>
    </w:p>
    <w:p>
      <w:r>
        <w:rPr>
          <w:color w:val="64748B"/>
          <w:sz w:val="18"/>
        </w:rPr>
        <w:t>Durée audio : 2 min 25 s    |    Narratrice : Martine (voix Amélie, ElevenLabs multilingual_v2)    |    Date : 27 février 2026 — Version langage clair : mai 2026</w:t>
      </w:r>
    </w:p>
    <w:p>
      <w:pPr>
        <w:ind w:left="170" w:right="170"/>
      </w:pPr>
      <w:r>
        <w:rPr>
          <w:i/>
          <w:color w:val="92400E"/>
          <w:sz w:val="17"/>
        </w:rPr>
        <w:t>⚠  Version simplifiée fournie à titre informatif. Le texte officiel (règlement de financement municipal) demeure la seule référence juridique. En cas de divergence, le texte officiel prévaut. (GF-19)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1134"/>
            <w:shd w:val="clear" w:color="auto" w:fill="14B8A6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Timecode</w:t>
            </w:r>
          </w:p>
        </w:tc>
        <w:tc>
          <w:tcPr>
            <w:tcW w:type="dxa" w:w="3685"/>
            <w:shd w:val="clear" w:color="auto" w:fill="14B8A6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Avant</w:t>
            </w:r>
          </w:p>
        </w:tc>
        <w:tc>
          <w:tcPr>
            <w:tcW w:type="dxa" w:w="3685"/>
            <w:shd w:val="clear" w:color="auto" w:fill="14B8A6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Après (langage clair)</w:t>
            </w:r>
          </w:p>
        </w:tc>
        <w:tc>
          <w:tcPr>
            <w:tcW w:type="dxa" w:w="1871"/>
            <w:shd w:val="clear" w:color="auto" w:fill="14B8A6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Règles</w:t>
            </w:r>
          </w:p>
        </w:tc>
      </w:tr>
      <w:tr>
        <w:tc>
          <w:tcPr>
            <w:tcW w:type="dxa" w:w="9972"/>
            <w:gridSpan w:val="4"/>
            <w:shd w:val="clear" w:color="auto" w:fill="1F3864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INTRODUCTION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0:00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Bonjour, je suis Martine agente au service des finances à la Municipalité de Stoneham-et-Tewkesbury.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Bonjour, je suis Martine, du service des finances de Stoneham-et-Tewkesbury.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R-08</w:t>
            </w:r>
          </w:p>
        </w:tc>
      </w:tr>
      <w:tr>
        <w:tc>
          <w:tcPr>
            <w:tcW w:type="dxa" w:w="1134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0:08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Dans cette capsule, je vous explique le financement offert par notre municipalité pour vous aider à payer la portion des travaux non couverte par la subvention.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La subvention ne paie pas tous vos travaux. Cette vidéo explique comment la municipalité vous aide à payer le reste.</w:t>
            </w:r>
          </w:p>
        </w:tc>
        <w:tc>
          <w:tcPr>
            <w:tcW w:type="dxa" w:w="1871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R-01, R-08, R-09</w:t>
            </w:r>
          </w:p>
        </w:tc>
      </w:tr>
      <w:tr>
        <w:tc>
          <w:tcPr>
            <w:tcW w:type="dxa" w:w="9972"/>
            <w:gridSpan w:val="4"/>
            <w:shd w:val="clear" w:color="auto" w:fill="1F3864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LE FINANCEMENT MUNICIPAL, QU'EST-CE QUE C'EST ?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0:18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Comme vous l'avez vu dans la capsule précédente, le Programme de subvention pour la mise aux normes des installations septiques autonomes couvre une partie des coûts admissibles de vos travaux.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Comme on l'a vu dans la vidéo précédente, la subvention paie une partie de vos travaux.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R-08 ; nom complet déjà donné en capsule 2</w:t>
            </w:r>
          </w:p>
        </w:tc>
      </w:tr>
      <w:tr>
        <w:tc>
          <w:tcPr>
            <w:tcW w:type="dxa" w:w="1134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0:30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Pour le montant que la subvention ne couvre pas, la Municipalité offre un financement étalé sur vingt ans, ajouté à vos taxes foncières.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Pour le reste à payer, la municipalité offre un prêt sur 20 ans. Vous le remboursez avec vos taxes foncières.</w:t>
            </w:r>
          </w:p>
        </w:tc>
        <w:tc>
          <w:tcPr>
            <w:tcW w:type="dxa" w:w="1871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R-08, R-09, R-22 ; GF-04</w:t>
            </w:r>
          </w:p>
        </w:tc>
      </w:tr>
      <w:tr>
        <w:tc>
          <w:tcPr>
            <w:tcW w:type="dxa" w:w="9972"/>
            <w:gridSpan w:val="4"/>
            <w:shd w:val="clear" w:color="auto" w:fill="1F3864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QUELLES SONT LES CONDITIONS ?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0:40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Vous devez déposer votre demande entre le premier janvier et le premier septembre de l'année de réalisation.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Déposez votre demande entre le 1er janvier et le 1er septembre de l'année des travaux.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R-25 ; GF-04</w:t>
            </w:r>
          </w:p>
        </w:tc>
      </w:tr>
      <w:tr>
        <w:tc>
          <w:tcPr>
            <w:tcW w:type="dxa" w:w="1134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0:50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Possibilité de remboursement anticipé après cinq ans.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Vous pouvez rembourser plus tôt, à partir de 5 ans.</w:t>
            </w:r>
          </w:p>
        </w:tc>
        <w:tc>
          <w:tcPr>
            <w:tcW w:type="dxa" w:w="1871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R-23, R-30 ; GF-04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1:05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Le taux d'intérêt sera celui en vigueur au moment de l'emprunt par la municipalité.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Le taux d'intérêt est celui en vigueur quand la municipalité emprunte.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R-15 ; GF-09</w:t>
            </w:r>
          </w:p>
        </w:tc>
      </w:tr>
      <w:tr>
        <w:tc>
          <w:tcPr>
            <w:tcW w:type="dxa" w:w="9972"/>
            <w:gridSpan w:val="4"/>
            <w:shd w:val="clear" w:color="auto" w:fill="1F3864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L'EXEMPLE DE JOSÉE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1:15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Rappelez-vous, dans la capsule expliquant le programme de subvention, Josée avait des coûts totaux de vingt-trois-mille dollars. Il lui reste quatorze-mille dollars à payer.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Rappelez-vous Josée, dans la vidéo précédente. Ses travaux coûtaient 23 000 $. Il lui reste 14 000 $ à payer.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R-08 ; GF-04</w:t>
            </w:r>
          </w:p>
        </w:tc>
      </w:tr>
      <w:tr>
        <w:tc>
          <w:tcPr>
            <w:tcW w:type="dxa" w:w="1134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1:25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Avec le financement municipal sur vingt ans, ça représente environ soixante à quatre-vingts dollars par mois sur ses taxes.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Avec le prêt sur 20 ans, cela ajoute environ 60 $ à 80 $ par mois à ses taxes.</w:t>
            </w:r>
          </w:p>
        </w:tc>
        <w:tc>
          <w:tcPr>
            <w:tcW w:type="dxa" w:w="1871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R-08 ; GF-04</w:t>
            </w:r>
          </w:p>
        </w:tc>
      </w:tr>
      <w:tr>
        <w:tc>
          <w:tcPr>
            <w:tcW w:type="dxa" w:w="9972"/>
            <w:gridSpan w:val="4"/>
            <w:shd w:val="clear" w:color="auto" w:fill="1F3864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COMMENT PROCÉDER ?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1:45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Déposez votre demande de financement entre le premier janvier et le premier septembre.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1. Demandez le prêt entre le 1er janvier et le 1er septembre.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R-25, R-05 ; GF-04</w:t>
            </w:r>
          </w:p>
        </w:tc>
      </w:tr>
      <w:tr>
        <w:tc>
          <w:tcPr>
            <w:tcW w:type="dxa" w:w="1134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1:55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La demande de versement doit être faite avant le vingt novembre.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2. Demandez le versement avant le 20 novembre.</w:t>
            </w:r>
          </w:p>
        </w:tc>
        <w:tc>
          <w:tcPr>
            <w:tcW w:type="dxa" w:w="1871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R-23, R-45 ; GF-04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2:02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Le chèque du financement sera délivré en même temps que le versement de la subvention.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3. Vous recevez le chèque du prêt en même temps que celui de la subvention.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R-11, R-30</w:t>
            </w:r>
          </w:p>
        </w:tc>
      </w:tr>
      <w:tr>
        <w:tc>
          <w:tcPr>
            <w:tcW w:type="dxa" w:w="9972"/>
            <w:gridSpan w:val="4"/>
            <w:shd w:val="clear" w:color="auto" w:fill="1F3864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CONCLUSION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2:10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En résumé : Financement municipal sur vingt ans pour la portion non couverte par la subvention. Remboursement via taxes foncières. Possibilité de remboursement anticipé après cinq ans. Respectez les dates limites.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En résumé :</w:t>
              <w:br/>
              <w:t>• un prêt sur 20 ans pour la part non payée par la subvention ;</w:t>
              <w:br/>
              <w:t>• remboursé avec vos taxes foncières ;</w:t>
              <w:br/>
              <w:t>• remboursable plus tôt, à partir de 5 ans.</w:t>
              <w:br/>
              <w:t>Respectez bien les deux dates limites.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R-05, R-08</w:t>
            </w:r>
          </w:p>
        </w:tc>
      </w:tr>
    </w:tbl>
    <w:p/>
    <w:p>
      <w:r>
        <w:rPr>
          <w:sz w:val="15"/>
        </w:rPr>
        <w:t>Référentiels : skill Littératie — Langage clair FR-QC  |  Règles R-XX : skill/references/regles-langage-clair.md  |  Garde-fous GF-XX : skill/contextes/municipal-qc/references/garde-fous-municipaux.md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